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5B" w:rsidRPr="005953C2" w:rsidRDefault="0041455B" w:rsidP="0041455B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41455B" w:rsidRPr="005953C2" w:rsidRDefault="0041455B" w:rsidP="0041455B">
      <w:pPr>
        <w:jc w:val="center"/>
        <w:rPr>
          <w:b/>
          <w:bCs/>
          <w:sz w:val="24"/>
          <w:szCs w:val="24"/>
          <w:rtl/>
        </w:rPr>
      </w:pP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8"/>
        <w:gridCol w:w="8826"/>
      </w:tblGrid>
      <w:tr w:rsidR="0041455B" w:rsidRPr="0034175A" w:rsidTr="003C2147"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1455B" w:rsidRPr="0034175A" w:rsidTr="003C2147">
        <w:trPr>
          <w:trHeight w:val="986"/>
        </w:trPr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الانسانية/جامعة بغداد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41455B" w:rsidRPr="0034175A" w:rsidRDefault="00321223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البحار والمحيطات</w:t>
            </w:r>
            <w:r w:rsidR="0041455B">
              <w:rPr>
                <w:rFonts w:hint="cs"/>
                <w:b/>
                <w:bCs/>
                <w:sz w:val="24"/>
                <w:szCs w:val="24"/>
                <w:rtl/>
              </w:rPr>
              <w:t>/ماجستير طبيعية/الفصل الاول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دوام رسمي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41455B" w:rsidRPr="0034175A" w:rsidRDefault="00321223" w:rsidP="0032122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الدراسية      2019 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 ساعة دراسة.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41455B" w:rsidRPr="0034175A" w:rsidRDefault="0041455B" w:rsidP="0032122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22/12/20</w:t>
            </w:r>
            <w:r w:rsidR="00321223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41455B" w:rsidRPr="0034175A" w:rsidRDefault="0041455B" w:rsidP="003C214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بالموارد المائية وانواعها</w:t>
            </w:r>
          </w:p>
        </w:tc>
      </w:tr>
      <w:tr w:rsidR="0041455B" w:rsidRPr="0034175A" w:rsidTr="003C2147">
        <w:trPr>
          <w:trHeight w:val="315"/>
        </w:trPr>
        <w:tc>
          <w:tcPr>
            <w:tcW w:w="4148" w:type="dxa"/>
          </w:tcPr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 الطلبة بالتوزيع الجغرافي لكل مورد من الموارد المائية</w:t>
            </w:r>
          </w:p>
        </w:tc>
      </w:tr>
      <w:tr w:rsidR="0041455B" w:rsidRPr="0034175A" w:rsidTr="003C2147">
        <w:trPr>
          <w:trHeight w:val="315"/>
        </w:trPr>
        <w:tc>
          <w:tcPr>
            <w:tcW w:w="4148" w:type="dxa"/>
          </w:tcPr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بالمشاكل التي تواجهها الموارد المائية, وكيفية صيانة تلك الموارد والحفاظ عليها.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تعرف الطلبة بالموارد المائية غير التقليدية.</w:t>
            </w:r>
          </w:p>
        </w:tc>
      </w:tr>
      <w:tr w:rsidR="0041455B" w:rsidRPr="0034175A" w:rsidTr="003C2147">
        <w:trPr>
          <w:trHeight w:val="315"/>
        </w:trPr>
        <w:tc>
          <w:tcPr>
            <w:tcW w:w="4148" w:type="dxa"/>
          </w:tcPr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- 6-</w:t>
            </w:r>
          </w:p>
        </w:tc>
      </w:tr>
      <w:tr w:rsidR="0041455B" w:rsidRPr="0034175A" w:rsidTr="003C2147">
        <w:trPr>
          <w:trHeight w:val="4778"/>
        </w:trPr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عرف الموارد المائية وما هي انواعها.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ماهي الدورة المائية وما أهميتها وماهي العوامل المؤثرة فيها.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وزع جغرافيا كل صنف من اصناف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ما هي المشاكل التي تجابه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ما هي الحلول المقترحة لصيانة كل مورد من الموارد المائية.</w:t>
            </w:r>
          </w:p>
          <w:p w:rsidR="0041455B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ما هي خصائص كل مورد من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رسم خرائط توضح التوزيع الجغرافي لكل مورد.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طريقة الالقاء والمحاضرة لدى الطلاب.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كيفية تسخير طرائق البحث الجغرافي خدمة لموضوع الموارد المائية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كيفية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استباط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الاجابة على بعض الاسئلة المثارة.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rPr>
          <w:trHeight w:val="1042"/>
        </w:trPr>
        <w:tc>
          <w:tcPr>
            <w:tcW w:w="12974" w:type="dxa"/>
            <w:gridSpan w:val="2"/>
          </w:tcPr>
          <w:p w:rsidR="0041455B" w:rsidRPr="00286D02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86D02"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المحاضرة,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286D02">
              <w:rPr>
                <w:rFonts w:hint="cs"/>
                <w:b/>
                <w:bCs/>
                <w:sz w:val="24"/>
                <w:szCs w:val="24"/>
                <w:rtl/>
              </w:rPr>
              <w:t>طريقة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لاستجواب و</w:t>
            </w:r>
            <w:r w:rsidRPr="00286D02">
              <w:rPr>
                <w:rFonts w:hint="cs"/>
                <w:b/>
                <w:bCs/>
                <w:sz w:val="24"/>
                <w:szCs w:val="24"/>
                <w:rtl/>
              </w:rPr>
              <w:t>لمناقشة.</w:t>
            </w:r>
            <w:r w:rsidRPr="00286D0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وطريقة البوربوينت. </w:t>
            </w:r>
            <w:r w:rsidRPr="00286D0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</w:t>
            </w:r>
            <w:r w:rsidRPr="00286D0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إرشاد الطلاب إلى بعض المواقع الالكترونية للإفادة منها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في دراسة الموارد المائية</w:t>
            </w:r>
            <w:r w:rsidRPr="00286D0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41455B" w:rsidRPr="0034175A" w:rsidTr="003C2147"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1455B" w:rsidRPr="0034175A" w:rsidTr="003C2147">
        <w:trPr>
          <w:trHeight w:val="1568"/>
        </w:trPr>
        <w:tc>
          <w:tcPr>
            <w:tcW w:w="12974" w:type="dxa"/>
            <w:gridSpan w:val="2"/>
          </w:tcPr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اختبارات تحريرية, واختبارات شفهية, فضلا عن الاسئلة الاختبارية اثناء المحاضرة, وكتابة بحوث مختصرة عن مواضيع الموارد المائية.</w:t>
            </w: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كسر حاجز الخجل لدى الطلاب اثناء مشاركتهم في المحاضرة.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روح حب المحاضرة وعدم الملل منها.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احترام المحاضرة.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الالتزام بوقت المحاضرة.</w:t>
            </w:r>
          </w:p>
        </w:tc>
      </w:tr>
      <w:tr w:rsidR="0041455B" w:rsidRPr="0034175A" w:rsidTr="003C2147"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1455B" w:rsidRPr="0034175A" w:rsidTr="003C2147">
        <w:trPr>
          <w:trHeight w:val="1042"/>
        </w:trPr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المحاضرة والمناقشة. وطريقة عرض البيانات والبور بوينت, والتأكيد على مشاركة الطالب بالمحاضرة.</w:t>
            </w:r>
          </w:p>
        </w:tc>
      </w:tr>
      <w:tr w:rsidR="0041455B" w:rsidRPr="0034175A" w:rsidTr="003C2147"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1455B" w:rsidRPr="0034175A" w:rsidTr="003C2147">
        <w:trPr>
          <w:trHeight w:val="1042"/>
        </w:trPr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اختبارات تحريرية, واختبارات شفهية, فضلا عن الاسئلة الاختبارية اثناء المحاضرة, وكتابة بحوث مختصرة عن مواضيع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-7--</w:t>
            </w: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استخدام الوسائل التقنية في خدمة مواضيع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وضع حلول للمشاكل التي تجابه الموارد المائية.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رسم الخرائط وتوزيع الموارد الطبيعية عليها.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الطالب على المناقشة والحوار.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rPr>
          <w:trHeight w:val="1042"/>
        </w:trPr>
        <w:tc>
          <w:tcPr>
            <w:tcW w:w="12974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46"/>
              <w:gridCol w:w="1255"/>
              <w:gridCol w:w="2578"/>
              <w:gridCol w:w="1248"/>
              <w:gridCol w:w="1178"/>
              <w:gridCol w:w="1087"/>
            </w:tblGrid>
            <w:tr w:rsidR="0041455B" w:rsidRPr="0034175A" w:rsidTr="003C2147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41455B" w:rsidRPr="0034175A" w:rsidTr="003C2147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9F4D52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 جغرافية البحار والمحيطات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الشفهي, وعمل بحث</w:t>
                  </w:r>
                </w:p>
              </w:tc>
            </w:tr>
            <w:tr w:rsidR="0041455B" w:rsidRPr="0034175A" w:rsidTr="003C2147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9F4D52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نشاة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البحار والمحيطات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البور بوينت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الشفهي, وعمل بحث</w:t>
                  </w:r>
                </w:p>
              </w:tc>
            </w:tr>
            <w:tr w:rsidR="0041455B" w:rsidRPr="0034175A" w:rsidTr="003C2147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9F4D52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نظرية زحزحة القارات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وتطبيق المعادلات الرياضية.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الشفهي, وعمل بحث, وتكليف الطلبة بتطبيق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المعادلات الرياضية.</w:t>
                  </w:r>
                </w:p>
              </w:tc>
            </w:tr>
            <w:tr w:rsidR="0041455B" w:rsidRPr="0034175A" w:rsidTr="003C2147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2A3A27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تضاريسية وتركيبة القيعان البحرية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وبحث.</w:t>
                  </w:r>
                </w:p>
              </w:tc>
            </w:tr>
            <w:tr w:rsidR="0041455B" w:rsidRPr="0034175A" w:rsidTr="003C2147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2A3A27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الجزر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القوسية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1508C4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محاضرة البور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بوينت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وبحث.</w:t>
                  </w:r>
                </w:p>
              </w:tc>
            </w:tr>
            <w:tr w:rsidR="0041455B" w:rsidRPr="0034175A" w:rsidTr="003C2147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B164C8" w:rsidRDefault="002A3A27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السواحل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1508C4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محاضرة البور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بوينت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B164C8" w:rsidRDefault="002A3A27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الدلتا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34175A" w:rsidRDefault="001508C4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محاضرة البور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بوينت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2A3A27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المصبات النهرية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1508C4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محاضرة البور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بوينت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2A3A27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المناخ والبحار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والميطات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1508C4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محاضرة البور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بوينت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2A3A27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وصف لبعض البحار والمحيطات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1508C4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محاضرة البور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بوينت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4A6EA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Pr="002A3A27" w:rsidRDefault="002A3A27" w:rsidP="002A3A27">
                  <w:pPr>
                    <w:rPr>
                      <w:rFonts w:ascii="Arial" w:hAnsi="Arial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rtl/>
                      <w:lang w:bidi="ar-IQ"/>
                    </w:rPr>
                    <w:t xml:space="preserve">الامواج والمد </w:t>
                  </w:r>
                  <w:r>
                    <w:rPr>
                      <w:rFonts w:ascii="Arial" w:hAnsi="Arial" w:hint="cs"/>
                      <w:rtl/>
                      <w:lang w:bidi="ar-IQ"/>
                    </w:rPr>
                    <w:lastRenderedPageBreak/>
                    <w:t>والجزر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الامتحان الشفهي. </w:t>
                  </w: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وبحث</w:t>
                  </w:r>
                </w:p>
              </w:tc>
            </w:tr>
            <w:tr w:rsidR="0041455B" w:rsidRPr="0034175A" w:rsidTr="003C2147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C53A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2A3A27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الخليج العربي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C53A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1508C4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المحيط الهادي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القاء ومناقشة.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41455B" w:rsidRPr="0034175A" w:rsidTr="003C2147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C53A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1508C4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المحيط الاطلسي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بوربوينت.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455B" w:rsidRDefault="0041455B" w:rsidP="00321223">
                  <w:pPr>
                    <w:framePr w:hSpace="180" w:wrap="around" w:vAnchor="text" w:hAnchor="text" w:xAlign="right" w:y="1"/>
                    <w:suppressOverlap/>
                  </w:pPr>
                  <w:r w:rsidRPr="009A4D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الشفهي. وبحث</w:t>
                  </w:r>
                </w:p>
              </w:tc>
            </w:tr>
            <w:tr w:rsidR="002A3A27" w:rsidRPr="0034175A" w:rsidTr="003C2147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A27" w:rsidRDefault="002A3A27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A27" w:rsidRPr="00C53A08" w:rsidRDefault="002A3A27" w:rsidP="00321223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A27" w:rsidRDefault="002A3A27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A27" w:rsidRDefault="001508C4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الامتحان ومناقشة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الاتقارير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08C4" w:rsidRDefault="001508C4" w:rsidP="0032122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2A3A27" w:rsidRPr="001508C4" w:rsidRDefault="002A3A27" w:rsidP="001508C4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A3A27" w:rsidRPr="009A4D3A" w:rsidRDefault="002A3A27" w:rsidP="00321223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1455B" w:rsidRPr="005953C2" w:rsidRDefault="0041455B" w:rsidP="0041455B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lastRenderedPageBreak/>
        <w:br w:type="textWrapping" w:clear="all"/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-8-</w:t>
      </w: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8"/>
        <w:gridCol w:w="8259"/>
      </w:tblGrid>
      <w:tr w:rsidR="0041455B" w:rsidRPr="0034175A" w:rsidTr="003C2147">
        <w:tc>
          <w:tcPr>
            <w:tcW w:w="12407" w:type="dxa"/>
            <w:gridSpan w:val="2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يوجد.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41455B" w:rsidRPr="0034175A" w:rsidRDefault="0041455B" w:rsidP="003C214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1455B" w:rsidRDefault="0041455B" w:rsidP="003C21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الموارد المائية, سلام هاتف احمد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الجبوري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ط1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, مكتب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دلير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, باب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المعظم,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بغداد,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2018.</w:t>
            </w:r>
          </w:p>
          <w:p w:rsidR="0041455B" w:rsidRPr="002A64B0" w:rsidRDefault="0041455B" w:rsidP="003C21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الهيدرولوجي, سلام هاتف احمد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الجبوري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ط1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, مكتب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دلير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, باب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المعظم,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بغداد,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2018.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1455B" w:rsidRPr="002A64B0" w:rsidRDefault="0041455B" w:rsidP="003C21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جودة فتحي التركماني, جغرافية الموارد المائية , ط1, الدار السعودية للنشر والتوزيع, 2005.</w:t>
            </w:r>
          </w:p>
          <w:p w:rsidR="0041455B" w:rsidRPr="002A64B0" w:rsidRDefault="0041455B" w:rsidP="003C21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محمد خميس الزوكة, جغرافية المياه, دار المعرفة الجامعية, الاسكندرية, 1998.</w:t>
            </w:r>
          </w:p>
          <w:p w:rsidR="0041455B" w:rsidRPr="002A64B0" w:rsidRDefault="0041455B" w:rsidP="003C21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سلام هاتف احمد الجبوري, الموارد </w:t>
            </w:r>
            <w:proofErr w:type="spellStart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الطبيعية,</w:t>
            </w:r>
            <w:proofErr w:type="spellEnd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ط2</w:t>
            </w:r>
            <w:proofErr w:type="spellEnd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 xml:space="preserve">, مكتب </w:t>
            </w:r>
            <w:proofErr w:type="spellStart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دلير</w:t>
            </w:r>
            <w:proofErr w:type="spellEnd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 xml:space="preserve">, باب </w:t>
            </w:r>
            <w:proofErr w:type="spellStart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المعظم,</w:t>
            </w:r>
            <w:proofErr w:type="spellEnd"/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 xml:space="preserve"> 2016.</w:t>
            </w:r>
          </w:p>
          <w:p w:rsidR="0041455B" w:rsidRPr="002A64B0" w:rsidRDefault="0041455B" w:rsidP="003C21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A64B0">
              <w:rPr>
                <w:rFonts w:hint="cs"/>
                <w:b/>
                <w:bCs/>
                <w:sz w:val="24"/>
                <w:szCs w:val="24"/>
                <w:rtl/>
              </w:rPr>
              <w:t>مهدي محمد علي الصحاف ووفيق حسين الخشاب وباقر احمد كاشف الغطاء, علم الهيدرولوجي, مطابع جامعة الموصل, 1983.</w:t>
            </w:r>
          </w:p>
        </w:tc>
      </w:tr>
      <w:tr w:rsidR="0041455B" w:rsidRPr="0034175A" w:rsidTr="003C2147">
        <w:tc>
          <w:tcPr>
            <w:tcW w:w="4148" w:type="dxa"/>
          </w:tcPr>
          <w:p w:rsidR="0041455B" w:rsidRPr="0034175A" w:rsidRDefault="0041455B" w:rsidP="003C214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1455B" w:rsidRPr="004C148F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4C148F">
              <w:rPr>
                <w:b/>
                <w:bCs/>
                <w:sz w:val="24"/>
                <w:szCs w:val="24"/>
              </w:rPr>
              <w:t>iasj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4C14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موقع المجلات الاكاديمية العراقية.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4C14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4C148F">
              <w:rPr>
                <w:b/>
                <w:bCs/>
                <w:sz w:val="24"/>
                <w:szCs w:val="24"/>
                <w:lang w:bidi="ar-IQ"/>
              </w:rPr>
              <w:t>wiipedia</w:t>
            </w:r>
            <w:proofErr w:type="spellEnd"/>
            <w:r w:rsidRPr="004C14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)الموسوعة العربية.</w:t>
            </w:r>
          </w:p>
        </w:tc>
      </w:tr>
    </w:tbl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07"/>
      </w:tblGrid>
      <w:tr w:rsidR="0041455B" w:rsidRPr="0034175A" w:rsidTr="003C2147">
        <w:tc>
          <w:tcPr>
            <w:tcW w:w="12407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55B" w:rsidRPr="0034175A" w:rsidTr="003C2147">
        <w:trPr>
          <w:trHeight w:val="1042"/>
        </w:trPr>
        <w:tc>
          <w:tcPr>
            <w:tcW w:w="12407" w:type="dxa"/>
          </w:tcPr>
          <w:p w:rsidR="0041455B" w:rsidRPr="0034175A" w:rsidRDefault="0041455B" w:rsidP="003C214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 xml:space="preserve">تكليف الطلبة </w:t>
            </w:r>
            <w:proofErr w:type="spellStart"/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باجراء</w:t>
            </w:r>
            <w:proofErr w:type="spellEnd"/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البحوث حول مواضيع الموارد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لمائية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 xml:space="preserve">,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مقارنة مفردات المادة مع مفرداتها في الجامعات الاخرى, تحديث قائمة المراجع المعتمدة في دراسة مادة الموارد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لمائية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, متابعة الجديد من اصدارات وبحوث وتقارير تخص الموارد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مائية</w:t>
            </w:r>
            <w:r w:rsidRPr="004C148F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41455B" w:rsidRPr="005953C2" w:rsidRDefault="0041455B" w:rsidP="0041455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p w:rsidR="0041455B" w:rsidRPr="005953C2" w:rsidRDefault="0041455B" w:rsidP="0041455B">
      <w:pPr>
        <w:rPr>
          <w:b/>
          <w:bCs/>
          <w:sz w:val="24"/>
          <w:szCs w:val="24"/>
          <w:rtl/>
        </w:rPr>
      </w:pPr>
    </w:p>
    <w:p w:rsidR="0041455B" w:rsidRPr="005953C2" w:rsidRDefault="0041455B" w:rsidP="0041455B">
      <w:pPr>
        <w:rPr>
          <w:b/>
          <w:bCs/>
          <w:sz w:val="24"/>
          <w:szCs w:val="24"/>
        </w:rPr>
      </w:pPr>
    </w:p>
    <w:p w:rsidR="0041455B" w:rsidRPr="001638CD" w:rsidRDefault="0041455B" w:rsidP="0041455B"/>
    <w:p w:rsidR="00CE1102" w:rsidRDefault="00CE1102">
      <w:bookmarkStart w:id="0" w:name="_GoBack"/>
      <w:bookmarkEnd w:id="0"/>
    </w:p>
    <w:sectPr w:rsidR="00CE1102" w:rsidSect="00BA5D62">
      <w:pgSz w:w="16838" w:h="11906" w:orient="landscape"/>
      <w:pgMar w:top="1800" w:right="1440" w:bottom="1800" w:left="144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F835C6"/>
    <w:multiLevelType w:val="hybridMultilevel"/>
    <w:tmpl w:val="12CE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A2203"/>
    <w:multiLevelType w:val="hybridMultilevel"/>
    <w:tmpl w:val="6E3A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1455B"/>
    <w:rsid w:val="001508C4"/>
    <w:rsid w:val="002A3A27"/>
    <w:rsid w:val="00321223"/>
    <w:rsid w:val="0041455B"/>
    <w:rsid w:val="004D271C"/>
    <w:rsid w:val="009F4D52"/>
    <w:rsid w:val="00C90E35"/>
    <w:rsid w:val="00CE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5B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5B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4</cp:revision>
  <dcterms:created xsi:type="dcterms:W3CDTF">2019-01-28T19:05:00Z</dcterms:created>
  <dcterms:modified xsi:type="dcterms:W3CDTF">2019-11-28T19:56:00Z</dcterms:modified>
</cp:coreProperties>
</file>