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111DB0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</w:t>
            </w:r>
            <w:r w:rsidR="007F0653">
              <w:rPr>
                <w:rFonts w:hint="cs"/>
                <w:b/>
                <w:bCs/>
                <w:sz w:val="24"/>
                <w:szCs w:val="24"/>
                <w:rtl/>
              </w:rPr>
              <w:t xml:space="preserve">رافية 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C6E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النقل 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F06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F06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F06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27701" w:rsidP="00DD6F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24-5-201</w:t>
            </w:r>
            <w:bookmarkStart w:id="0" w:name="_GoBack"/>
            <w:bookmarkEnd w:id="0"/>
            <w:r w:rsidR="00DD6F1A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111DB0" w:rsidRPr="00E4594B" w:rsidTr="00915D65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11DB0" w:rsidRPr="00E4594B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القواعد العامة للنقل بأنواعه الثلاث البري، والبحري، والجوي وتحديد.</w:t>
                  </w:r>
                </w:p>
              </w:tc>
            </w:tr>
            <w:tr w:rsidR="00111DB0" w:rsidRPr="00450E71" w:rsidTr="00915D6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11DB0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الاحكام القانونية فيما يتعلق بالبضائع والاشخاص .</w:t>
                  </w:r>
                </w:p>
                <w:p w:rsidR="00111DB0" w:rsidRPr="00450E71" w:rsidRDefault="00111DB0" w:rsidP="00915D65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111DB0" w:rsidRPr="00E4594B" w:rsidTr="00915D6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11DB0" w:rsidRPr="00E4594B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مسؤولية الناقل البحري ، والجوي من جميع الاوجه.</w:t>
                  </w:r>
                </w:p>
              </w:tc>
            </w:tr>
          </w:tbl>
          <w:p w:rsidR="00037DD3" w:rsidRPr="00111DB0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مناقشة وتوضيح أهمية النقل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المسائل المتعلقة بالنقل البحري والجوي والبري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اجراء البحوث في مجال النقل الجغرافي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النقل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بانواعه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الثلاثة</w:t>
            </w:r>
          </w:p>
          <w:p w:rsidR="00037DD3" w:rsidRPr="00111DB0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يكون الطالب قادر على الالمام بأهم المبادئ التي يقوم عليها قانون النقل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مادة النقل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النقل وتوجيههم التوجيه المهني الصحيح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111DB0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</w:t>
            </w:r>
          </w:p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عمل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كروبات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اثناء المحاضرة وعطاء درجة للمشاركين في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الكروبات</w:t>
            </w:r>
            <w:proofErr w:type="spellEnd"/>
          </w:p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تنمية المفاهيم وتطويرها بخصوص مادة النقل</w:t>
            </w:r>
          </w:p>
          <w:p w:rsidR="00037DD3" w:rsidRDefault="00111DB0" w:rsidP="00111DB0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تحقيق مستوى عالي من مستويات الادراك العقلي للمشكلات التي يدور حولها النقاش</w:t>
            </w: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037DD3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د1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النقل</w:t>
            </w:r>
          </w:p>
          <w:p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الجغرافي  بصورة عامة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9"/>
              <w:gridCol w:w="1318"/>
              <w:gridCol w:w="2839"/>
              <w:gridCol w:w="983"/>
              <w:gridCol w:w="1138"/>
              <w:gridCol w:w="1072"/>
            </w:tblGrid>
            <w:tr w:rsidR="00C27701" w:rsidTr="007F0653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27701" w:rsidTr="007F0653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ـ مفهوم وتطور مجالات ومناهج النقل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 w:rsidP="007F06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r w:rsidR="007F0653">
                    <w:rPr>
                      <w:rFonts w:hint="cs"/>
                      <w:b/>
                      <w:bCs/>
                      <w:rtl/>
                    </w:rPr>
                    <w:t>طرق تحليل شبكات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C27701" w:rsidTr="007F0653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مفهوم جغرافية النقل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r w:rsidR="007F0653">
                    <w:rPr>
                      <w:rFonts w:hint="cs"/>
                      <w:b/>
                      <w:bCs/>
                      <w:rtl/>
                    </w:rPr>
                    <w:t>انظمة النقل الحديثة المستدامة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27701" w:rsidTr="007F0653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تطور مفهوم جغرافية و النقل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7F06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الاستدامة بالنسبة للطرق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27701" w:rsidTr="007F0653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تطور النقل في العراق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7F06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وسائل النقل المتعدد الوسائط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C27701" w:rsidTr="007F0653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مجالات الدراسة في جغرافيا النقل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مجالات الدراسة في جغرافيا النقل</w:t>
                  </w:r>
                </w:p>
                <w:p w:rsidR="007F0653" w:rsidRDefault="007F0653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7F0653" w:rsidRDefault="007F06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النقل الذكي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C27701" w:rsidTr="007F0653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مناهج البحث في جغرافية النقل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مناهج البحث في جغرافية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مصادر بيانات النقل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مصادر بيانات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المصادر الاحصائية المحلية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المصادر الاحصائية المحلية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المصادر الاحصائية العالمية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المصادر الاحصائية العالمية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الدراسة الميدانية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الدراسة الميدانية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+نقاشات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المناقشات+ امتحان قصير 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بعض اساليب القياس الكمية المستخدمة ، جغرافيا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بعض اساليب القياس الكمية المستخدمة ، جغرافيا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1ـ نظرية الشبكات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نظرية الشبكات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2ـ نظرية التفاعل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نظرية التفاعل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C27701" w:rsidTr="007F06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7F06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مؤشر امكانية الوصول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</w:tbl>
          <w:p w:rsidR="00037DD3" w:rsidRDefault="00037DD3" w:rsidP="007F06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الكلية العامة</w:t>
            </w:r>
          </w:p>
          <w:p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النقل</w:t>
            </w:r>
          </w:p>
          <w:p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111DB0" w:rsidRPr="00111DB0" w:rsidRDefault="00111DB0" w:rsidP="00111DB0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FF" w:rsidRDefault="00EA52FF" w:rsidP="00037DD3">
      <w:pPr>
        <w:spacing w:after="0" w:line="240" w:lineRule="auto"/>
      </w:pPr>
      <w:r>
        <w:separator/>
      </w:r>
    </w:p>
  </w:endnote>
  <w:endnote w:type="continuationSeparator" w:id="0">
    <w:p w:rsidR="00EA52FF" w:rsidRDefault="00EA52FF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FF" w:rsidRDefault="00EA52FF" w:rsidP="00037DD3">
      <w:pPr>
        <w:spacing w:after="0" w:line="240" w:lineRule="auto"/>
      </w:pPr>
      <w:r>
        <w:separator/>
      </w:r>
    </w:p>
  </w:footnote>
  <w:footnote w:type="continuationSeparator" w:id="0">
    <w:p w:rsidR="00EA52FF" w:rsidRDefault="00EA52FF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102A01"/>
    <w:rsid w:val="00111DB0"/>
    <w:rsid w:val="00123451"/>
    <w:rsid w:val="00197EF9"/>
    <w:rsid w:val="002C64D7"/>
    <w:rsid w:val="003665D8"/>
    <w:rsid w:val="003C67C3"/>
    <w:rsid w:val="004F686F"/>
    <w:rsid w:val="007E773B"/>
    <w:rsid w:val="007F0653"/>
    <w:rsid w:val="00833281"/>
    <w:rsid w:val="00A60FDA"/>
    <w:rsid w:val="00A73116"/>
    <w:rsid w:val="00C27701"/>
    <w:rsid w:val="00D313BD"/>
    <w:rsid w:val="00D8590E"/>
    <w:rsid w:val="00D94EF3"/>
    <w:rsid w:val="00DD6F1A"/>
    <w:rsid w:val="00EA52FF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11</cp:revision>
  <dcterms:created xsi:type="dcterms:W3CDTF">2016-05-17T17:56:00Z</dcterms:created>
  <dcterms:modified xsi:type="dcterms:W3CDTF">2019-12-02T19:32:00Z</dcterms:modified>
</cp:coreProperties>
</file>