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49" w:rsidRDefault="00020B49" w:rsidP="00020B49">
      <w:pPr>
        <w:rPr>
          <w:b/>
          <w:bCs/>
          <w:sz w:val="24"/>
          <w:szCs w:val="24"/>
          <w:lang w:bidi="ar-IQ"/>
        </w:rPr>
      </w:pP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r w:rsidR="00353EA7">
        <w:rPr>
          <w:rFonts w:hint="cs"/>
          <w:b/>
          <w:bCs/>
          <w:sz w:val="24"/>
          <w:szCs w:val="24"/>
          <w:rtl/>
        </w:rPr>
        <w:t>الأكاديمي</w:t>
      </w:r>
    </w:p>
    <w:p w:rsidR="00020B49" w:rsidRDefault="00E329F2" w:rsidP="00020B49">
      <w:pPr>
        <w:rPr>
          <w:b/>
          <w:bCs/>
          <w:sz w:val="24"/>
          <w:szCs w:val="24"/>
          <w:rtl/>
        </w:rPr>
      </w:pPr>
      <w:r w:rsidRPr="00E329F2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020B49" w:rsidRDefault="00020B49" w:rsidP="0004219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042190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020B49" w:rsidRDefault="00020B49" w:rsidP="00020B49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020B49">
        <w:rPr>
          <w:b/>
          <w:bCs/>
          <w:sz w:val="24"/>
          <w:szCs w:val="24"/>
          <w:rtl/>
        </w:rPr>
        <w:t>الجامعة  :-بغداد</w:t>
      </w: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r w:rsidR="00353EA7">
        <w:rPr>
          <w:rFonts w:hint="cs"/>
          <w:b/>
          <w:bCs/>
          <w:sz w:val="24"/>
          <w:szCs w:val="24"/>
          <w:rtl/>
        </w:rPr>
        <w:t>الإنسانية</w:t>
      </w: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020B49" w:rsidRDefault="00020B49" w:rsidP="00020B4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ماجستير تاريخ حديث</w:t>
      </w:r>
    </w:p>
    <w:p w:rsidR="00C60EEA" w:rsidRDefault="00C60EEA" w:rsidP="00C60EE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:- </w:t>
      </w:r>
      <w:r>
        <w:rPr>
          <w:b/>
          <w:bCs/>
          <w:sz w:val="24"/>
          <w:szCs w:val="24"/>
          <w:rtl/>
        </w:rPr>
        <w:t xml:space="preserve">تاريخ </w:t>
      </w:r>
      <w:r>
        <w:rPr>
          <w:rFonts w:hint="cs"/>
          <w:b/>
          <w:bCs/>
          <w:sz w:val="24"/>
          <w:szCs w:val="24"/>
          <w:rtl/>
        </w:rPr>
        <w:t>أوربا</w:t>
      </w:r>
      <w:r>
        <w:rPr>
          <w:b/>
          <w:bCs/>
          <w:sz w:val="24"/>
          <w:szCs w:val="24"/>
          <w:rtl/>
        </w:rPr>
        <w:t xml:space="preserve"> الحديث</w:t>
      </w:r>
      <w:r>
        <w:rPr>
          <w:rFonts w:hint="cs"/>
          <w:b/>
          <w:bCs/>
          <w:sz w:val="24"/>
          <w:szCs w:val="24"/>
          <w:rtl/>
        </w:rPr>
        <w:t xml:space="preserve"> / </w:t>
      </w:r>
      <w:r>
        <w:rPr>
          <w:b/>
          <w:bCs/>
          <w:sz w:val="24"/>
          <w:szCs w:val="24"/>
          <w:rtl/>
        </w:rPr>
        <w:t xml:space="preserve">دراسات في تاريخ </w:t>
      </w:r>
      <w:r>
        <w:rPr>
          <w:rFonts w:hint="cs"/>
          <w:b/>
          <w:bCs/>
          <w:sz w:val="24"/>
          <w:szCs w:val="24"/>
          <w:rtl/>
        </w:rPr>
        <w:t>أوربا</w:t>
      </w:r>
      <w:r>
        <w:rPr>
          <w:b/>
          <w:bCs/>
          <w:sz w:val="24"/>
          <w:szCs w:val="24"/>
          <w:rtl/>
        </w:rPr>
        <w:t xml:space="preserve"> الحديث من الثورة الفرنسية وحتى الحرب العالمية </w:t>
      </w:r>
      <w:r>
        <w:rPr>
          <w:rFonts w:hint="cs"/>
          <w:b/>
          <w:bCs/>
          <w:sz w:val="24"/>
          <w:szCs w:val="24"/>
          <w:rtl/>
        </w:rPr>
        <w:t>الأولى</w:t>
      </w:r>
    </w:p>
    <w:p w:rsidR="00C60EEA" w:rsidRDefault="00C60EEA" w:rsidP="00C60EE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1789-1914</w:t>
      </w:r>
      <w:r w:rsidRPr="006E0D37">
        <w:rPr>
          <w:b/>
          <w:bCs/>
          <w:sz w:val="24"/>
          <w:szCs w:val="24"/>
          <w:rtl/>
        </w:rPr>
        <w:t xml:space="preserve"> </w:t>
      </w:r>
    </w:p>
    <w:p w:rsidR="00020B49" w:rsidRDefault="00C60EEA" w:rsidP="00020B4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 w:rsidR="00020B49">
        <w:rPr>
          <w:b/>
          <w:bCs/>
          <w:sz w:val="24"/>
          <w:szCs w:val="24"/>
          <w:rtl/>
        </w:rPr>
        <w:t xml:space="preserve">أ.م.د نغم سلام </w:t>
      </w:r>
      <w:proofErr w:type="spellStart"/>
      <w:r w:rsidR="00020B49">
        <w:rPr>
          <w:b/>
          <w:bCs/>
          <w:sz w:val="24"/>
          <w:szCs w:val="24"/>
          <w:rtl/>
        </w:rPr>
        <w:t>ابراهيم</w:t>
      </w:r>
      <w:proofErr w:type="spellEnd"/>
      <w:r w:rsidR="00020B49">
        <w:rPr>
          <w:b/>
          <w:bCs/>
          <w:sz w:val="24"/>
          <w:szCs w:val="24"/>
          <w:rtl/>
        </w:rPr>
        <w:t xml:space="preserve"> </w:t>
      </w:r>
    </w:p>
    <w:p w:rsidR="006E0D37" w:rsidRDefault="006E0D37" w:rsidP="006E0D37">
      <w:pPr>
        <w:rPr>
          <w:b/>
          <w:bCs/>
          <w:sz w:val="24"/>
          <w:szCs w:val="24"/>
          <w:rtl/>
        </w:rPr>
      </w:pPr>
    </w:p>
    <w:p w:rsidR="00020B49" w:rsidRPr="006E0D37" w:rsidRDefault="006E0D37" w:rsidP="006E0D3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E0D3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المقرر  </w:t>
      </w:r>
    </w:p>
    <w:tbl>
      <w:tblPr>
        <w:tblStyle w:val="TableGrid1"/>
        <w:bidiVisual/>
        <w:tblW w:w="0" w:type="auto"/>
        <w:tblLook w:val="04A0"/>
      </w:tblPr>
      <w:tblGrid>
        <w:gridCol w:w="4148"/>
        <w:gridCol w:w="4374"/>
      </w:tblGrid>
      <w:tr w:rsidR="00020B49" w:rsidTr="00020B4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البرنامج الأكاديمي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البرنامج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القصوى من الفرص المتاحة .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ويصاحبة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وصف لكل مقرر ضمن البرنامج </w:t>
            </w:r>
            <w:r w:rsidR="006E0D37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rPr>
          <w:trHeight w:val="986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C60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20B49" w:rsidRDefault="00020B4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الانسانية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/ ابن رشد </w:t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6E0D37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قسم التاريخ </w:t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 w:rsidP="00C60EE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60EEA">
              <w:rPr>
                <w:b/>
                <w:bCs/>
                <w:sz w:val="24"/>
                <w:szCs w:val="24"/>
                <w:rtl/>
              </w:rPr>
              <w:t xml:space="preserve">التاريخ </w:t>
            </w:r>
            <w:proofErr w:type="spellStart"/>
            <w:r w:rsidR="00C60EEA">
              <w:rPr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 w:rsidR="00C60EEA">
              <w:rPr>
                <w:b/>
                <w:bCs/>
                <w:sz w:val="24"/>
                <w:szCs w:val="24"/>
                <w:rtl/>
              </w:rPr>
              <w:t xml:space="preserve">  الحديث </w:t>
            </w:r>
            <w:r w:rsidR="00C60EEA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b/>
                <w:bCs/>
                <w:sz w:val="24"/>
                <w:szCs w:val="24"/>
                <w:rtl/>
              </w:rPr>
              <w:t xml:space="preserve">دراسات في من الثورة الفرنسية حتى  الحرب العالمية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1789- </w:t>
            </w:r>
            <w:r w:rsidR="00C60EEA">
              <w:rPr>
                <w:rFonts w:hint="cs"/>
                <w:b/>
                <w:bCs/>
                <w:sz w:val="24"/>
                <w:szCs w:val="24"/>
                <w:rtl/>
              </w:rPr>
              <w:t xml:space="preserve">1914 </w:t>
            </w:r>
          </w:p>
          <w:p w:rsidR="00C60EEA" w:rsidRDefault="00C60EEA" w:rsidP="00C60EE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60EEA" w:rsidRDefault="00C60EEA" w:rsidP="00C60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الرمز       128  ت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تاح</w:t>
            </w:r>
            <w:proofErr w:type="spellEnd"/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يوم  واحد</w:t>
            </w:r>
            <w:r w:rsidR="00042190">
              <w:rPr>
                <w:rFonts w:hint="cs"/>
                <w:b/>
                <w:bCs/>
                <w:sz w:val="24"/>
                <w:szCs w:val="24"/>
                <w:rtl/>
              </w:rPr>
              <w:t xml:space="preserve"> أسبوعيا</w:t>
            </w:r>
            <w:r w:rsidR="00705C39">
              <w:rPr>
                <w:b/>
                <w:bCs/>
                <w:sz w:val="24"/>
                <w:szCs w:val="24"/>
                <w:rtl/>
              </w:rPr>
              <w:t xml:space="preserve"> – حضوري و اليكتروني</w:t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705C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B70A89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B70A89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B70A89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30 ساعة بمعدل  2 ساعة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اسبوعيا</w:t>
            </w:r>
            <w:proofErr w:type="spellEnd"/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 w:rsidP="000421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</w:rPr>
              <w:t>20</w:t>
            </w:r>
            <w:r w:rsidR="0004219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020B49" w:rsidRDefault="00020B4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شكل 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القرن التاسع عشر مرحلة مهمة من التاريخ الحديث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دراسة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التغير في العلاقات الدولية للمدة السابقة لعام 1789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الاطلاع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المتغيرات السياسية والاقتصادية في فرنسا للمدة 1789- 1815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ربط المتغيرات التي لوجدتها الثورة الفرنسية مع مواقف القوى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دراسة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الاطماع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الدولة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العثملنية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وحرب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القرم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بشكل خاص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تحليل المتغيرات التي ظهرت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اثر قيام الثورة الصناعية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دراسة العلاقات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اوجدها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الواقع السياسي للوحدتين الايطالية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والالمانية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0B49" w:rsidRDefault="00020B49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دراسة الحركة الاستعمارية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على التنافس الدولي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تحليل العلاقات الدولية عشية الحرب العالمية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020B49" w:rsidTr="00020B49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rPr>
          <w:trHeight w:val="4778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9- مخرجات المقرر وطرائق التعليم والتعلم والتقييم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أ1- معرفة العلاقات الدولية عشية عام1789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أ2- 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سارت عليها العلاقات الدولية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القرن التاسع عشر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 معرفة عوامل ظهور الفكر القومي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القرن التاسع عشر 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أ4-معرفة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دراسة العلاقات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وفق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النغيرات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القومية في القرن التاسع عشر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أ-5- القدرة على ربط التطورات الاقتصادية والسياسية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مع تداعيات السلام والتوازن الدولي الذي كان سائدا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القرن التاسع عشر</w:t>
            </w:r>
          </w:p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020B49" w:rsidRDefault="00020B4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 القدرة على 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الاقتصادية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 الواقع السياسي في القرن التاسع عشر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 القدرة على ربط وتحليل المتغيرات مع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اوجدتها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طبيعة العلاقات الدولية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 القدرة على تحديد المعطيات وربطها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والنتائج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rPr>
          <w:trHeight w:val="1042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السبورةالسبورة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الذكية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الحاسبة بنظام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الوورد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والبور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بوينت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افلام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وثائقية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020B49" w:rsidRDefault="00020B49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20B49" w:rsidTr="00020B49">
        <w:trPr>
          <w:trHeight w:val="1568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الامتحانات يومية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بحوث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 قبل نهاية الكورس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تقارير لكل محاضرة تتضمن مفردات المقرر</w:t>
            </w:r>
          </w:p>
        </w:tc>
      </w:tr>
      <w:tr w:rsidR="00020B49" w:rsidTr="00020B4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ج1-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يكون الطالب قادرا على فهم  وتحليل التاريخ 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الحديث للمدة التاريخية 1789-1914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ج2-تمكين طالب الدراسات على فهم 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افكار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الثورة الفرنسية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على التغيرات  السياسية في القارة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وانعكاستها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على  مسار العلاقات الدولية قبل الحرب العالمية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ج3-تحديد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امكانيات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طالب في تحليل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التاريخية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باسلوب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حث العلمي والاستنتاج للمادة التاريخية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ج4- قادر على  فهم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الربط بين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والنتائج وتعزيزه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بتقيمات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علمية بموجب المصادر المتنوعة التي اطلع عليها </w:t>
            </w:r>
          </w:p>
        </w:tc>
      </w:tr>
      <w:tr w:rsidR="00020B49" w:rsidTr="00020B4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طرائق التعليم والتعلم ، العرض</w:t>
            </w:r>
          </w:p>
        </w:tc>
      </w:tr>
      <w:tr w:rsidR="00020B49" w:rsidTr="00020B49">
        <w:trPr>
          <w:trHeight w:val="1042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السبورة – الرسومات والمخططات 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الشرح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الخرائط – الموسوعة الالكترونية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الحاسبة بنظام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الوورد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والبور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</w:tc>
      </w:tr>
      <w:tr w:rsidR="00020B49" w:rsidTr="00020B49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الامتحانات اليومية + التقارير  10 درجة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ماقبل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امتحان نهاية الكورس  15 درجة         مجموع درجات الكورس 40 درجة  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البحوث 15 درجة </w:t>
            </w:r>
          </w:p>
          <w:p w:rsidR="00020B49" w:rsidRDefault="00020B4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الامتحان النهائي للكورس  60 درجة</w:t>
            </w:r>
          </w:p>
        </w:tc>
      </w:tr>
      <w:tr w:rsidR="00020B49" w:rsidTr="00020B49">
        <w:trPr>
          <w:trHeight w:val="1042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 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د1- القدرة على  فهم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وربط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بالنتائج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د2- القدرة على التحليل  والتقييم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 القدرة على وصف التطورات التاريخية (السياسية ,الاقتصادية ,العسكرية ,الاجتماعية)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rPr>
          <w:trHeight w:val="1042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10. بنية المقرر </w:t>
            </w:r>
          </w:p>
          <w:p w:rsidR="00020B49" w:rsidRDefault="00020B49">
            <w:pPr>
              <w:spacing w:after="0" w:line="254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020B49" w:rsidRDefault="00020B49">
            <w:pPr>
              <w:spacing w:after="0" w:line="254" w:lineRule="auto"/>
              <w:rPr>
                <w:b/>
                <w:bCs/>
                <w:sz w:val="24"/>
                <w:szCs w:val="24"/>
                <w:rtl/>
              </w:rPr>
            </w:pPr>
          </w:p>
          <w:p w:rsidR="00020B49" w:rsidRDefault="00020B49">
            <w:pPr>
              <w:spacing w:after="0" w:line="254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tbl>
            <w:tblPr>
              <w:bidiVisual/>
              <w:tblW w:w="0" w:type="auto"/>
              <w:tblLook w:val="04A0"/>
            </w:tblPr>
            <w:tblGrid>
              <w:gridCol w:w="835"/>
              <w:gridCol w:w="869"/>
              <w:gridCol w:w="2148"/>
              <w:gridCol w:w="2345"/>
              <w:gridCol w:w="1030"/>
              <w:gridCol w:w="1069"/>
            </w:tblGrid>
            <w:tr w:rsidR="00020B49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20B49">
              <w:trPr>
                <w:trHeight w:val="146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ادراك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اواخر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القرن الثامن عشر وتعريف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مميزات الثورة الفرنسية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وتاثيرها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ونتائجها ,مواقف القوى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واربا عشية الثورة –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الثورة الفرنسية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عهد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الارهاب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وحكومة الادارة1792_1799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والتحليل 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+ تقارير الطلبة</w:t>
                  </w:r>
                </w:p>
              </w:tc>
            </w:tr>
            <w:tr w:rsidR="00020B49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تطوير معلومات الطالب عن فرنسا في عهد نابليون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حروبه ,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اعماله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عوامل نجاحه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سقوطه 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-فرنسا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النابلونية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واروبا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حتى معركة لايبزك1799_1914. مراسيم برلين ,الحصار القاري معارك نابليون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المناقشة والتحليل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والتقييم 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فتح باب النقاش بين الطلبة </w:t>
                  </w:r>
                </w:p>
              </w:tc>
            </w:tr>
            <w:tr w:rsidR="00020B49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التطورات السياسية التي حدثت خلال مؤتمر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فيينا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وما بعده من مؤتمرات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 عهد المؤتمرات الدولية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من مؤتمر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فيينا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حتى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ثورات عام1848.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مؤتمر فيينا1815_التطورات السياسية في فرنسا ,معاهدة باريس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والثانية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المناقشة والتحليل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تقييم رصانة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المعلومات التي حصل عليها الطلبة من شبكة المعلومات من خلال مناقشة التقارير </w:t>
                  </w:r>
                </w:p>
              </w:tc>
            </w:tr>
            <w:tr w:rsidR="00020B49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طالب الدراسات  لفهم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 بعد مؤتمر فينا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 موقف القوى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من فرنسا  بعد سقوط نابليون وتطبيق بنود مؤتمر فينا شارل العاشر ,ثورة 1830 في فرنسا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المناقشة والتحليل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والتقييم والاستنتاج 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مشاركة الطالب الفعالة في النقاشات عن التاريخ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020B49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تمكين الطالب من تحليل مخرجات مؤتمر فينا على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وفهم التطورات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الاسياسية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بريطانية خلال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تللك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التطورات السياسية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بريطانيا 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الاستنتاج والتقييم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 يومي + مع تحليل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اجوبة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الطلبة مع التقارير الخاصة بالمادة</w:t>
                  </w:r>
                </w:p>
              </w:tc>
            </w:tr>
            <w:tr w:rsidR="00020B49">
              <w:trPr>
                <w:trHeight w:val="1145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عن التطورات الاقتصادية والسياسية في بريطانيا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والمانيا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والنمسا قبل1848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-النظريات الاقتصادية والسياسية في بريطانيا وشبه الجزيرة الايطالية_بروسيا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والاراضي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_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الامبراطورية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النمساوية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الاطلاع على تقارير الطلبة ومناقشة البحوث الخاصة بالموضوع</w:t>
                  </w:r>
                </w:p>
              </w:tc>
            </w:tr>
            <w:tr w:rsidR="00020B49">
              <w:trPr>
                <w:trHeight w:val="285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ثورة1848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ثورات عام1848 القومية  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والنتائج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فنسا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بروسيا ايطاليا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الاراضي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المنخفضة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تقييم تقارير الطلبة حول الصراعات السياسية خلال 1848</w:t>
                  </w:r>
                </w:p>
              </w:tc>
            </w:tr>
            <w:tr w:rsidR="00020B49">
              <w:trPr>
                <w:trHeight w:val="1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التي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الثورة الصناعية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الثورة الصناعية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النتائج في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وبريطانيا فرنسا بلجيكا بروسيا وباقي دول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من خلال تقارير الطلبة وتحضيرهم </w:t>
                  </w:r>
                </w:p>
              </w:tc>
            </w:tr>
            <w:tr w:rsidR="00020B49">
              <w:trPr>
                <w:trHeight w:val="9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الاحداث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التي مرت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قبل قيام الوحدة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-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من قيام الجمهورية الفرنسية حتى قيام الوحدة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الالمانية1848_1870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فرنسا تحت سيطرة نابليون الثالث.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المناقشة والتحليل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تقييم مدى استجابة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الطلبة لدراسة التاريخ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020B49">
              <w:trPr>
                <w:trHeight w:val="150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تطوير معلومات الطالب عن المسالة الشرقية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المسالة الشرقية وحرب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القرم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,موقف القوى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من حرب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القرم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المسالة الشرقية</w:t>
                  </w:r>
                </w:p>
              </w:tc>
            </w:tr>
            <w:tr w:rsidR="00020B49">
              <w:trPr>
                <w:trHeight w:val="111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الوحدة الايطالية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-الوحدة الايطالية.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020B49">
              <w:trPr>
                <w:trHeight w:val="19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بالتطورات السياسية والاقتصادية خلال الوحدة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-الوحدة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020B49">
              <w:trPr>
                <w:trHeight w:val="28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1870_1914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الاوضاع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الداخلية في الدول الاوربية1870_1914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الجمهورية الفرنسية الثالثة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,بريطانيا,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المانيا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,روسيا , النمسا المجر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التطورات السياسية قبل1914</w:t>
                  </w:r>
                </w:p>
              </w:tc>
            </w:tr>
            <w:tr w:rsidR="00020B49">
              <w:trPr>
                <w:trHeight w:val="28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باهمية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العلاقات الدولية والنظام البسماركي1870_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فهم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عقد عصبة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الاباطرة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الثلاثة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1890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تعريف الطالب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البوسنة والهرس ل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الاحلاف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الدولية1883_1885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-العلاقات الدولية في اوربا1870_1914</w:t>
                  </w:r>
                </w:p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والنظام البسماركي1870_-حلف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الاباطرة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الثلاث1883</w:t>
                  </w:r>
                </w:p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الحلف الثلاثي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الالماني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النمساوي_الايطالي1882</w:t>
                  </w:r>
                </w:p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المانيا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والحركة الاستعمارية1884_1885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الفعالة في النقاشات عن 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التي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اندلاع الحرب العالمية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وربطه مع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في التاريخ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020B49">
              <w:trPr>
                <w:trHeight w:val="150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مساعدة الطالب على استيعاب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انقسام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معسكرين قبل الحرب العالمية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ومن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ثم الاستنتاج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قيام الحرب العالمية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الحلف الفرنسي_الروسي1894</w:t>
                  </w:r>
                </w:p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الحلف البريطاني_الياباني1902</w:t>
                  </w:r>
                </w:p>
                <w:p w:rsidR="00020B49" w:rsidRDefault="00020B49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الوفاق الودي1904</w:t>
                  </w:r>
                </w:p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الوفاق الثلاثي1907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الحروب قبل الحرب العالمية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الاولى1908_1914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المناقشة والتحليل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والاستنتاج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B49" w:rsidRDefault="00020B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تقييم مدى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ادراك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الطلبة وقدرتهم على ربط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والنتائج</w:t>
                  </w:r>
                </w:p>
              </w:tc>
            </w:tr>
          </w:tbl>
          <w:p w:rsidR="00020B49" w:rsidRDefault="00020B49">
            <w:pPr>
              <w:spacing w:after="0" w:line="254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20B49" w:rsidRDefault="00020B49" w:rsidP="00020B49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063"/>
        <w:gridCol w:w="5459"/>
      </w:tblGrid>
      <w:tr w:rsidR="00020B49" w:rsidTr="00020B49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11- البنية التحتية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20B49" w:rsidRDefault="00020B4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عبد العزيز سليمان نوار وعبد المجيد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نعنعي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,التاريخ المعاصر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الثورة الفرنسية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الحرب العالمية الثانية ,محمد كمال دسوقي ,تاريخ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المانيا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,الدولة العثمانية والمسالة الشرقية ,محمد محمد صالح ,تاريخ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القرن التاسع عشر عبد العزيز سليمان /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الثورة الفرنسية حتى الحرب العالمية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كارلتون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هيز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/ 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الحديث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ميلاد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مقرحي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,تاريخ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الحديث ,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البيرسوبول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/ تاريخ الثورة الفرنسية</w:t>
            </w:r>
          </w:p>
          <w:p w:rsidR="00020B49" w:rsidRDefault="00020B4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فيشر، 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الحديث </w:t>
            </w:r>
          </w:p>
          <w:p w:rsidR="00020B49" w:rsidRDefault="00020B4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JOURNL</w:t>
            </w:r>
          </w:p>
          <w:p w:rsidR="00020B49" w:rsidRDefault="00020B4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Anderson ,frank, modern Europe in world perspective </w:t>
            </w:r>
          </w:p>
          <w:p w:rsidR="00020B49" w:rsidRDefault="00020B49">
            <w:pPr>
              <w:pStyle w:val="a3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9" w:rsidRDefault="00E329F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20B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</w:t>
              </w:r>
            </w:hyperlink>
            <w:r w:rsidR="00020B49">
              <w:rPr>
                <w:rFonts w:ascii="Times New Roman" w:hAnsi="Times New Roman"/>
                <w:sz w:val="24"/>
                <w:szCs w:val="24"/>
              </w:rPr>
              <w:t xml:space="preserve"> HISTORY OF EUORP</w:t>
            </w:r>
          </w:p>
        </w:tc>
      </w:tr>
    </w:tbl>
    <w:p w:rsidR="00020B49" w:rsidRDefault="00020B49" w:rsidP="00020B49">
      <w:pPr>
        <w:rPr>
          <w:b/>
          <w:bCs/>
          <w:sz w:val="24"/>
          <w:szCs w:val="24"/>
          <w:rtl/>
        </w:rPr>
      </w:pPr>
    </w:p>
    <w:p w:rsidR="00020B49" w:rsidRDefault="00020B49" w:rsidP="00020B49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020B49" w:rsidTr="00020B49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خطة تطوير المقرر الدراسي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0B49" w:rsidTr="00020B49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-ضرورة تفسير المنهج المقرر ... ومن المواد التي ينبغي إضافتها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- الثورة الصناعية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اوربا</w:t>
            </w:r>
            <w:proofErr w:type="spellEnd"/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-قيام الثورة الصناعية في بريطانيا 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- المؤتمرات الدولية بعد مؤتمر فينا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1715-1723</w:t>
            </w:r>
          </w:p>
          <w:p w:rsidR="00020B49" w:rsidRDefault="00020B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5795E" w:rsidRPr="00020B49" w:rsidRDefault="0015795E">
      <w:pPr>
        <w:rPr>
          <w:lang w:val="en-GB"/>
        </w:rPr>
      </w:pPr>
    </w:p>
    <w:sectPr w:rsidR="0015795E" w:rsidRPr="00020B49" w:rsidSect="00157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6CE"/>
    <w:multiLevelType w:val="hybridMultilevel"/>
    <w:tmpl w:val="D50CD322"/>
    <w:lvl w:ilvl="0" w:tplc="C0D8D9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3928"/>
    <w:multiLevelType w:val="hybridMultilevel"/>
    <w:tmpl w:val="0012F63E"/>
    <w:lvl w:ilvl="0" w:tplc="1E2AA8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67738"/>
    <w:multiLevelType w:val="hybridMultilevel"/>
    <w:tmpl w:val="E67825A2"/>
    <w:lvl w:ilvl="0" w:tplc="49CEB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0B49"/>
    <w:rsid w:val="00020B49"/>
    <w:rsid w:val="00042190"/>
    <w:rsid w:val="000D3A46"/>
    <w:rsid w:val="0015795E"/>
    <w:rsid w:val="00353EA7"/>
    <w:rsid w:val="003D63BD"/>
    <w:rsid w:val="00635373"/>
    <w:rsid w:val="00680FD7"/>
    <w:rsid w:val="006E0D37"/>
    <w:rsid w:val="006F4169"/>
    <w:rsid w:val="00705C39"/>
    <w:rsid w:val="00734124"/>
    <w:rsid w:val="00880A34"/>
    <w:rsid w:val="008C0FFC"/>
    <w:rsid w:val="009F6401"/>
    <w:rsid w:val="00A01B79"/>
    <w:rsid w:val="00B70A89"/>
    <w:rsid w:val="00C23837"/>
    <w:rsid w:val="00C60EEA"/>
    <w:rsid w:val="00C8741C"/>
    <w:rsid w:val="00D538B7"/>
    <w:rsid w:val="00E329F2"/>
    <w:rsid w:val="00F16C0F"/>
    <w:rsid w:val="00F9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49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20B4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20B49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020B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1334</Words>
  <Characters>7604</Characters>
  <Application>Microsoft Office Word</Application>
  <DocSecurity>0</DocSecurity>
  <Lines>63</Lines>
  <Paragraphs>17</Paragraphs>
  <ScaleCrop>false</ScaleCrop>
  <Company>Ahmed-Under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8</cp:revision>
  <dcterms:created xsi:type="dcterms:W3CDTF">2020-12-25T23:44:00Z</dcterms:created>
  <dcterms:modified xsi:type="dcterms:W3CDTF">2021-02-22T22:18:00Z</dcterms:modified>
</cp:coreProperties>
</file>