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سيكولوجيا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الصفي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الاستاذ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الدكتورة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زينب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حمزة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راجي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ماجستير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 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فحص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تعلم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الطلاب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سياق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التحفيز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يمكن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تطوير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سمة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شخصية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المثابرة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المرتبطة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بالنجاح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أدائهم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الإدراكي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وتعلمهم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الاستراتيجيات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القائمة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التجربة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والتي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ستساعد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الطلاب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ترميز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المواد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المكتسبة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بشكل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فعالية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الذاكرة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طويلة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المدى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.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تلك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الموجودة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وحدة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الذاكرة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إصدار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التقييم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التكويني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بشكل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متكرر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خلال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مشاكل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الممارسة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والأنشطة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والاختبارات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النموذجية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،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زيادة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معارفهم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ومهاراتهم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وثقتهم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.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تحقيق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زيادات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أكبر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قدرة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الاسترجاع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المدى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الطويل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.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تتضمن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الممارسة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أسئلة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مفتوحة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تتطلب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استرجاع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المعرفة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الموجودة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والتحدي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المتمثل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تطبيق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تلك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مواقف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سياقات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جديدة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ind w:left="360"/>
              <w:contextualSpacing w:val="0"/>
              <w:rPr>
                <w:rFonts w:ascii="Arial" w:cs="Arial" w:eastAsia="Arial" w:hAnsi="Arial"/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سيكولوجيا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حضوري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4/3/2021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الذاتي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للطلاب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التنظيم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الذاتي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تعزيز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الابداعي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26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الناقد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الصعبة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ومعالجة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بعمق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أكبر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عندما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يتبنون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إتقان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بدلا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contextualSpacing w:val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ind w:left="360" w:hanging="14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وطرائق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والتقييم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142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المعرفية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360" w:right="0" w:hanging="142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والاختلافات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والمتعلمين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الموهوبين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وإعاقات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تعلم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المتعلمين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واحتفاظهم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بالمعلومات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142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الأهداف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 w:hanging="14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1-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ارسم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مخططات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لمفاهيم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الصفي</w:t>
            </w:r>
          </w:p>
          <w:p w:rsidR="00000000" w:rsidDel="00000000" w:rsidP="00000000" w:rsidRDefault="00000000" w:rsidRPr="00000000" w14:paraId="0000003E">
            <w:pPr>
              <w:bidi w:val="1"/>
              <w:ind w:left="360" w:hanging="14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تصميم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خارطة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مفاهيمية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للموضوعات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 w:hanging="14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 w:hanging="142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3--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التعاوني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العصف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الذهني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46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الحرة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والموجهة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bidi w:val="1"/>
              <w:spacing w:after="120"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المهام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المشكلات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التحريرية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الموضوعية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والمقالية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القصيرة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tabs>
                <w:tab w:val="left" w:pos="226"/>
                <w:tab w:val="left" w:pos="368"/>
              </w:tabs>
              <w:bidi w:val="1"/>
              <w:spacing w:line="276" w:lineRule="auto"/>
              <w:contextualSpacing w:val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ملفات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الانجاز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الاتجاه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الايجابي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نفوس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أهمية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سيكولوجيا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وارتباطه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بالحياة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وضرورة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المحافظة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الرغبة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الجماعي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والتعاون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الاخرين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التواصل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اللفظي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مهارة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االسئلة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1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11.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بنية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843"/>
              <w:gridCol w:w="335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843"/>
                  <w:gridCol w:w="335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3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الأسبوع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5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A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B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D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التعلم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1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2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4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8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9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B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F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0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2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6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7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9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ادوار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العملية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D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E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0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خطوات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اتخاذ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لقرار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لدى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5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7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مدير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للعملية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التعليمية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الثامن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C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AE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مخطط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للعملية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التاسع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3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5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منظمة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للخبرات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للبيئة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المناسبة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العاشر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A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BC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قائدا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ً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للانشطة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والممارسات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المناقشات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الحرة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والموجهة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1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3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ضابط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للاجراءات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المهام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7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8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A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مكملا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للعملية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حل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المشكلات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tabs>
                      <w:tab w:val="left" w:pos="226"/>
                      <w:tab w:val="left" w:pos="368"/>
                    </w:tabs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ملفات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الانجاز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E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الثالث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CF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1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دور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المدرس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في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تصميم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التدريس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السلوكي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النشط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5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الرابع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6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8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التركيز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على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نظريات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والبحوث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النفسية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التعاوني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الاختبارات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التحريرية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الموضوعية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والمقالية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C">
                  <w:pPr>
                    <w:bidi w:val="1"/>
                    <w:contextualSpacing w:val="0"/>
                    <w:rPr>
                      <w:rFonts w:ascii="Arial" w:cs="Arial" w:eastAsia="Arial" w:hAnsi="Arial"/>
                      <w:color w:val="000000"/>
                    </w:rPr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D">
                  <w:pPr>
                    <w:contextualSpacing w:val="0"/>
                    <w:jc w:val="right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contextualSpacing w:val="0"/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تعرف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,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فهم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تطبيق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تحليل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تركيب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1"/>
                    </w:rPr>
                    <w:t xml:space="preserve">تقويم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tl w:val="1"/>
                    </w:rPr>
                    <w:t xml:space="preserve"> ، </w:t>
                  </w:r>
                  <w:r w:rsidDel="00000000" w:rsidR="00000000" w:rsidRPr="00000000">
                    <w:rPr>
                      <w:rtl w:val="1"/>
                    </w:rPr>
                    <w:t xml:space="preserve">مهارات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التفكير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الابداعي</w:t>
                  </w:r>
                  <w:r w:rsidDel="00000000" w:rsidR="00000000" w:rsidRPr="00000000">
                    <w:rPr>
                      <w:rtl w:val="1"/>
                    </w:rPr>
                    <w:t xml:space="preserve">  </w:t>
                  </w:r>
                  <w:r w:rsidDel="00000000" w:rsidR="00000000" w:rsidRPr="00000000">
                    <w:rPr>
                      <w:rtl w:val="1"/>
                    </w:rPr>
                    <w:t xml:space="preserve">والناقد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DF">
                  <w:pPr>
                    <w:bidi w:val="1"/>
                    <w:contextualSpacing w:val="0"/>
                    <w:jc w:val="center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مباديء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الصفي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الفعال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من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وجهة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1"/>
                    </w:rPr>
                    <w:t xml:space="preserve">السلوكية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120" w:line="276" w:lineRule="auto"/>
                    <w:contextualSpacing w:val="0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الذهني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line="276" w:lineRule="auto"/>
                    <w:contextualSpacing w:val="0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-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التقارير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القصيرة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1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bidi w:val="1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bidi w:val="1"/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انماط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سيكولوجية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spacing w:after="0" w:line="360" w:lineRule="auto"/>
              <w:ind w:left="72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سيكولوجيا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مجلة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الاستاذ</w:t>
            </w:r>
          </w:p>
        </w:tc>
      </w:tr>
    </w:tbl>
    <w:p w:rsidR="00000000" w:rsidDel="00000000" w:rsidP="00000000" w:rsidRDefault="00000000" w:rsidRPr="00000000" w14:paraId="000000F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F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التطوير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بالحذف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واالاضافة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واالاستبدال</w:t>
            </w:r>
            <w:r w:rsidDel="00000000" w:rsidR="00000000" w:rsidRPr="00000000">
              <w:rPr>
                <w:rtl w:val="1"/>
              </w:rPr>
              <w:t xml:space="preserve"> . -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طرائق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طبيعة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واالخر</w:t>
            </w:r>
            <w:r w:rsidDel="00000000" w:rsidR="00000000" w:rsidRPr="00000000">
              <w:rPr>
                <w:rtl w:val="1"/>
              </w:rPr>
              <w:t xml:space="preserve">. - </w:t>
            </w:r>
            <w:r w:rsidDel="00000000" w:rsidR="00000000" w:rsidRPr="00000000">
              <w:rPr>
                <w:rtl w:val="1"/>
              </w:rPr>
              <w:t xml:space="preserve">استعمال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كالتقويم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البديل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وااللكتروني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والبورتفليو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odyTextIndent">
    <w:name w:val="Body Text Indent"/>
    <w:basedOn w:val="Normal"/>
    <w:link w:val="BodyTextIndentChar"/>
    <w:rsid w:val="005D43C9"/>
    <w:pPr>
      <w:spacing w:after="0" w:line="360" w:lineRule="auto"/>
      <w:ind w:firstLine="509"/>
      <w:jc w:val="lowKashida"/>
    </w:pPr>
    <w:rPr>
      <w:rFonts w:ascii="Times New Roman" w:cs="Arabic Transparent" w:eastAsia="Times New Roman" w:hAnsi="Times New Roman"/>
      <w:sz w:val="24"/>
      <w:szCs w:val="28"/>
      <w:lang w:val="fr-FR"/>
    </w:rPr>
  </w:style>
  <w:style w:type="character" w:styleId="BodyTextIndentChar" w:customStyle="1">
    <w:name w:val="Body Text Indent Char"/>
    <w:basedOn w:val="DefaultParagraphFont"/>
    <w:link w:val="BodyTextIndent"/>
    <w:rsid w:val="005D43C9"/>
    <w:rPr>
      <w:rFonts w:ascii="Times New Roman" w:cs="Arabic Transparent" w:eastAsia="Times New Roman" w:hAnsi="Times New Roman"/>
      <w:sz w:val="24"/>
      <w:szCs w:val="28"/>
      <w:lang w:val="fr-FR"/>
    </w:rPr>
  </w:style>
  <w:style w:type="character" w:styleId="Emphasis">
    <w:name w:val="Emphasis"/>
    <w:basedOn w:val="DefaultParagraphFont"/>
    <w:uiPriority w:val="20"/>
    <w:qFormat w:val="1"/>
    <w:rsid w:val="00CC21FE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D717F4"/>
    <w:pPr>
      <w:bidi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omp" w:customStyle="1">
    <w:name w:val="comp"/>
    <w:basedOn w:val="Normal"/>
    <w:rsid w:val="00461BBD"/>
    <w:pPr>
      <w:bidi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